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E4025DA" w14:textId="77777777" w:rsidR="008F49D3" w:rsidRPr="008F49D3" w:rsidRDefault="008F49D3" w:rsidP="008F49D3">
      <w:pPr>
        <w:keepNext/>
        <w:spacing w:line="240" w:lineRule="auto"/>
        <w:ind w:left="142" w:hanging="142"/>
        <w:jc w:val="right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  <w:r w:rsidRPr="008F49D3">
        <w:rPr>
          <w:rFonts w:ascii="Muli" w:eastAsia="Times New Roman" w:hAnsi="Muli" w:cs="Calibri"/>
          <w:color w:val="000000"/>
          <w:sz w:val="24"/>
          <w:szCs w:val="24"/>
          <w:lang w:eastAsia="pl-PL"/>
        </w:rPr>
        <w:t>Załącznik nr 6</w:t>
      </w:r>
    </w:p>
    <w:p w14:paraId="3DF8E327" w14:textId="77777777" w:rsidR="008F49D3" w:rsidRPr="008F49D3" w:rsidRDefault="008F49D3" w:rsidP="008F49D3">
      <w:pPr>
        <w:keepNext/>
        <w:spacing w:line="240" w:lineRule="auto"/>
        <w:ind w:left="142" w:hanging="142"/>
        <w:outlineLvl w:val="5"/>
        <w:rPr>
          <w:rFonts w:ascii="Muli" w:eastAsia="Times New Roman" w:hAnsi="Muli" w:cs="Calibri"/>
          <w:color w:val="000000"/>
          <w:sz w:val="24"/>
          <w:szCs w:val="24"/>
          <w:lang w:eastAsia="pl-PL"/>
        </w:rPr>
      </w:pPr>
    </w:p>
    <w:p w14:paraId="102F2989" w14:textId="77777777" w:rsidR="008F49D3" w:rsidRPr="008F49D3" w:rsidRDefault="008F49D3" w:rsidP="008F49D3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 w:rsidRPr="008F49D3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ANSB 1/2024</w:t>
      </w:r>
    </w:p>
    <w:p w14:paraId="7C59227D" w14:textId="77777777" w:rsidR="008F49D3" w:rsidRPr="008F49D3" w:rsidRDefault="008F49D3" w:rsidP="008F49D3">
      <w:pPr>
        <w:spacing w:after="200" w:line="276" w:lineRule="auto"/>
        <w:ind w:right="-1"/>
        <w:jc w:val="both"/>
        <w:rPr>
          <w:rFonts w:ascii="Muli" w:eastAsia="Times New Roman" w:hAnsi="Muli" w:cs="Tahoma"/>
          <w:color w:val="auto"/>
          <w:szCs w:val="20"/>
          <w:lang w:eastAsia="pl-PL"/>
        </w:rPr>
      </w:pPr>
    </w:p>
    <w:p w14:paraId="028D1EAF" w14:textId="77777777" w:rsidR="008F49D3" w:rsidRPr="008F49D3" w:rsidRDefault="008F49D3" w:rsidP="008F49D3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color w:val="auto"/>
          <w:sz w:val="22"/>
          <w:lang w:eastAsia="pl-PL"/>
        </w:rPr>
        <w:t xml:space="preserve">Wykonawca/* </w:t>
      </w:r>
    </w:p>
    <w:p w14:paraId="7ADECA0E" w14:textId="77777777" w:rsidR="008F49D3" w:rsidRPr="008F49D3" w:rsidRDefault="008F49D3" w:rsidP="008F49D3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Wykonawca wspólnie ubiegającego się o zamówienie/* </w:t>
      </w:r>
    </w:p>
    <w:p w14:paraId="4FFA7AEA" w14:textId="77777777" w:rsidR="008F49D3" w:rsidRPr="008F49D3" w:rsidRDefault="008F49D3" w:rsidP="008F49D3">
      <w:pPr>
        <w:spacing w:after="200" w:line="276" w:lineRule="auto"/>
        <w:ind w:right="-1"/>
        <w:jc w:val="both"/>
        <w:textAlignment w:val="baseline"/>
        <w:rPr>
          <w:rFonts w:ascii="Muli" w:eastAsia="Times New Roman" w:hAnsi="Muli" w:cs="Calibri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>Podmiot udostępniającego zasoby/*</w:t>
      </w:r>
      <w:r w:rsidRPr="008F49D3">
        <w:rPr>
          <w:rFonts w:ascii="Muli" w:eastAsia="Times New Roman" w:hAnsi="Muli" w:cs="Calibri"/>
          <w:color w:val="auto"/>
          <w:sz w:val="22"/>
          <w:lang w:eastAsia="pl-PL"/>
        </w:rPr>
        <w:t>:</w:t>
      </w:r>
    </w:p>
    <w:p w14:paraId="574A4F47" w14:textId="77777777" w:rsidR="008F49D3" w:rsidRPr="008F49D3" w:rsidRDefault="008F49D3" w:rsidP="008F49D3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………………………………………………………………</w:t>
      </w:r>
    </w:p>
    <w:p w14:paraId="58D042B0" w14:textId="77777777" w:rsidR="008F49D3" w:rsidRPr="008F49D3" w:rsidRDefault="008F49D3" w:rsidP="008F49D3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……………………………………………………………..</w:t>
      </w:r>
    </w:p>
    <w:p w14:paraId="489B495B" w14:textId="77777777" w:rsidR="008F49D3" w:rsidRPr="008F49D3" w:rsidRDefault="008F49D3" w:rsidP="008F49D3">
      <w:pPr>
        <w:spacing w:after="200" w:line="276" w:lineRule="auto"/>
        <w:ind w:right="-1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>……………………………………………………………..</w:t>
      </w:r>
    </w:p>
    <w:p w14:paraId="085A05B9" w14:textId="77777777" w:rsidR="008F49D3" w:rsidRPr="008F49D3" w:rsidRDefault="008F49D3" w:rsidP="008F49D3">
      <w:pPr>
        <w:spacing w:after="200" w:line="276" w:lineRule="auto"/>
        <w:ind w:right="-1"/>
        <w:rPr>
          <w:rFonts w:ascii="Muli" w:eastAsia="Times New Roman" w:hAnsi="Muli" w:cs="Calibri"/>
          <w:b w:val="0"/>
          <w:i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i/>
          <w:color w:val="auto"/>
          <w:sz w:val="22"/>
          <w:lang w:eastAsia="pl-PL"/>
        </w:rPr>
        <w:t>(pełna nazwa/firma)</w:t>
      </w:r>
    </w:p>
    <w:p w14:paraId="009A3FA3" w14:textId="77777777" w:rsidR="008F49D3" w:rsidRPr="008F49D3" w:rsidRDefault="008F49D3" w:rsidP="008F49D3">
      <w:pPr>
        <w:spacing w:after="200" w:line="276" w:lineRule="auto"/>
        <w:ind w:right="-1"/>
        <w:jc w:val="both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3887F0E2" w14:textId="77777777" w:rsidR="008F49D3" w:rsidRPr="008F49D3" w:rsidRDefault="008F49D3" w:rsidP="008F49D3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color w:val="auto"/>
          <w:sz w:val="22"/>
          <w:lang w:eastAsia="pl-PL"/>
        </w:rPr>
        <w:t xml:space="preserve">OŚWIADCZENIE </w:t>
      </w:r>
      <w:bookmarkStart w:id="0" w:name="_GoBack"/>
      <w:bookmarkEnd w:id="0"/>
    </w:p>
    <w:p w14:paraId="5230EF6F" w14:textId="77777777" w:rsidR="008F49D3" w:rsidRPr="008F49D3" w:rsidRDefault="008F49D3" w:rsidP="008F49D3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>uwzględniające tzw. regulacje „</w:t>
      </w:r>
      <w:r w:rsidRPr="008F49D3">
        <w:rPr>
          <w:rFonts w:ascii="Muli" w:eastAsia="Times New Roman" w:hAnsi="Muli" w:cs="Calibri"/>
          <w:color w:val="auto"/>
          <w:sz w:val="22"/>
          <w:lang w:eastAsia="pl-PL"/>
        </w:rPr>
        <w:t>sankcyjne</w:t>
      </w: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>”</w:t>
      </w:r>
    </w:p>
    <w:p w14:paraId="3A5E58C1" w14:textId="77777777" w:rsidR="008F49D3" w:rsidRPr="008F49D3" w:rsidRDefault="008F49D3" w:rsidP="008F49D3">
      <w:pPr>
        <w:tabs>
          <w:tab w:val="left" w:pos="0"/>
          <w:tab w:val="left" w:pos="18"/>
        </w:tabs>
        <w:spacing w:after="200" w:line="360" w:lineRule="auto"/>
        <w:jc w:val="center"/>
        <w:rPr>
          <w:rFonts w:ascii="Muli" w:eastAsia="Times New Roman" w:hAnsi="Muli" w:cs="Calibri"/>
          <w:color w:val="000000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w postępowaniu o udzielenie zamówienia publicznego </w:t>
      </w:r>
      <w:r w:rsidRPr="008F49D3">
        <w:rPr>
          <w:rFonts w:ascii="Muli" w:eastAsia="Times New Roman" w:hAnsi="Muli" w:cs="Calibri"/>
          <w:b w:val="0"/>
          <w:color w:val="000000"/>
          <w:sz w:val="22"/>
          <w:lang w:eastAsia="pl-PL"/>
        </w:rPr>
        <w:t>pn.:</w:t>
      </w:r>
    </w:p>
    <w:p w14:paraId="507FBF60" w14:textId="77777777" w:rsidR="008F49D3" w:rsidRPr="008F49D3" w:rsidRDefault="008F49D3" w:rsidP="008F49D3">
      <w:pPr>
        <w:spacing w:before="40" w:after="200" w:line="360" w:lineRule="auto"/>
        <w:jc w:val="center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color w:val="auto"/>
          <w:sz w:val="22"/>
          <w:lang w:eastAsia="pl-PL"/>
        </w:rPr>
        <w:t xml:space="preserve">Przebudowa budynku dydaktycznego Akademii Nauk Stosowanych </w:t>
      </w:r>
      <w:r w:rsidRPr="008F49D3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</w:p>
    <w:p w14:paraId="4FDDA8DB" w14:textId="77777777" w:rsidR="008F49D3" w:rsidRPr="008F49D3" w:rsidRDefault="008F49D3" w:rsidP="008F49D3">
      <w:pPr>
        <w:tabs>
          <w:tab w:val="left" w:pos="0"/>
          <w:tab w:val="left" w:pos="18"/>
        </w:tabs>
        <w:spacing w:after="200" w:line="360" w:lineRule="auto"/>
        <w:jc w:val="both"/>
        <w:rPr>
          <w:rFonts w:ascii="Muli" w:eastAsia="Times New Roman" w:hAnsi="Muli" w:cs="Calibri"/>
          <w:b w:val="0"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>składane na podstawie art. 125 ust. 1 i 5 ustawy z dnia 11 września 2019 r. Prawo zamówień publicznych, zwanej dalej ustawą:</w:t>
      </w:r>
    </w:p>
    <w:p w14:paraId="05A3B161" w14:textId="77777777" w:rsidR="008F49D3" w:rsidRPr="008F49D3" w:rsidRDefault="008F49D3" w:rsidP="008F49D3">
      <w:pPr>
        <w:numPr>
          <w:ilvl w:val="0"/>
          <w:numId w:val="26"/>
        </w:numPr>
        <w:spacing w:before="360" w:after="200" w:line="360" w:lineRule="auto"/>
        <w:ind w:left="714" w:hanging="357"/>
        <w:jc w:val="both"/>
        <w:rPr>
          <w:rFonts w:ascii="Muli" w:hAnsi="Muli" w:cs="Calibri"/>
          <w:b w:val="0"/>
          <w:color w:val="auto"/>
          <w:sz w:val="22"/>
        </w:rPr>
      </w:pPr>
      <w:r w:rsidRPr="008F49D3">
        <w:rPr>
          <w:rFonts w:ascii="Muli" w:hAnsi="Muli" w:cs="Calibri"/>
          <w:b w:val="0"/>
          <w:color w:val="auto"/>
          <w:sz w:val="22"/>
        </w:rPr>
        <w:t xml:space="preserve">Oświadczam, że nie podlegam wykluczeniu z postępowania na podstawie </w:t>
      </w:r>
      <w:r w:rsidRPr="008F49D3">
        <w:rPr>
          <w:rFonts w:ascii="Muli" w:hAnsi="Muli" w:cs="Calibri"/>
          <w:b w:val="0"/>
          <w:color w:val="auto"/>
          <w:sz w:val="22"/>
        </w:rPr>
        <w:br/>
      </w:r>
      <w:r w:rsidRPr="008F49D3">
        <w:rPr>
          <w:rFonts w:ascii="Muli" w:hAnsi="Muli" w:cs="Calibri"/>
          <w:color w:val="auto"/>
          <w:sz w:val="22"/>
        </w:rPr>
        <w:t>art. 5k rozporządzenia Rady</w:t>
      </w:r>
      <w:r w:rsidRPr="008F49D3">
        <w:rPr>
          <w:rFonts w:ascii="Muli" w:hAnsi="Muli" w:cs="Calibri"/>
          <w:b w:val="0"/>
          <w:color w:val="auto"/>
          <w:sz w:val="22"/>
        </w:rPr>
        <w:t xml:space="preserve"> (UE) nr 833/2014 z dnia 31 lipca 2014 r. dotyczącego </w:t>
      </w:r>
      <w:r w:rsidRPr="008F49D3">
        <w:rPr>
          <w:rFonts w:ascii="Muli" w:hAnsi="Muli" w:cs="Calibri"/>
          <w:color w:val="auto"/>
          <w:sz w:val="22"/>
        </w:rPr>
        <w:t>środków ograniczających w związku z działaniami Rosji destabilizującymi sytuację na Ukrainie</w:t>
      </w:r>
      <w:r w:rsidRPr="008F49D3">
        <w:rPr>
          <w:rFonts w:ascii="Muli" w:hAnsi="Muli" w:cs="Calibri"/>
          <w:b w:val="0"/>
          <w:color w:val="auto"/>
          <w:sz w:val="22"/>
        </w:rPr>
        <w:t xml:space="preserve"> (Dz. Urz. UE nr L 229 z 31.7.2014, str. 1), dalej: rozporządzenie 833/2014, w brzmieniu nadanym rozporządzeniem Rady (UE) 2022/576 w sprawie zmiany rozporządzenia (UE) nr 833/2014 dotyczącego środków ograniczających w związku z </w:t>
      </w:r>
      <w:r w:rsidRPr="008F49D3">
        <w:rPr>
          <w:rFonts w:ascii="Muli" w:hAnsi="Muli" w:cs="Calibri"/>
          <w:b w:val="0"/>
          <w:color w:val="auto"/>
          <w:sz w:val="22"/>
        </w:rPr>
        <w:lastRenderedPageBreak/>
        <w:t>działaniami Rosji destabilizującymi sytuację na Ukrainie (Dz. Urz. UE nr L 111 z 8.4.2022, str. 1), dalej: rozporządzenie 2022/576.</w:t>
      </w:r>
      <w:r w:rsidRPr="008F49D3">
        <w:rPr>
          <w:rFonts w:ascii="Muli" w:hAnsi="Muli" w:cs="Calibri"/>
          <w:b w:val="0"/>
          <w:color w:val="auto"/>
          <w:sz w:val="22"/>
          <w:vertAlign w:val="superscript"/>
        </w:rPr>
        <w:footnoteReference w:id="1"/>
      </w:r>
    </w:p>
    <w:p w14:paraId="73D88537" w14:textId="77777777" w:rsidR="008F49D3" w:rsidRPr="008F49D3" w:rsidRDefault="008F49D3" w:rsidP="008F49D3">
      <w:pPr>
        <w:numPr>
          <w:ilvl w:val="0"/>
          <w:numId w:val="26"/>
        </w:numPr>
        <w:spacing w:after="200" w:line="360" w:lineRule="auto"/>
        <w:jc w:val="both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Oświadczam, że nie zachodzą w stosunku do mnie przesłanki wykluczenia </w:t>
      </w:r>
      <w:r w:rsidRPr="008F49D3">
        <w:rPr>
          <w:rFonts w:ascii="Muli" w:eastAsia="Times New Roman" w:hAnsi="Muli" w:cs="Calibri"/>
          <w:b w:val="0"/>
          <w:color w:val="auto"/>
          <w:sz w:val="22"/>
          <w:lang w:eastAsia="pl-PL"/>
        </w:rPr>
        <w:br/>
        <w:t xml:space="preserve">z postępowania na podstawie </w:t>
      </w:r>
      <w:r w:rsidRPr="008F49D3">
        <w:rPr>
          <w:rFonts w:ascii="Muli" w:eastAsia="Times New Roman" w:hAnsi="Muli" w:cs="Calibri"/>
          <w:color w:val="auto"/>
          <w:sz w:val="22"/>
          <w:lang w:eastAsia="pl-PL"/>
        </w:rPr>
        <w:t xml:space="preserve">art. </w:t>
      </w:r>
      <w:r w:rsidRPr="008F49D3">
        <w:rPr>
          <w:rFonts w:ascii="Muli" w:eastAsia="Times New Roman" w:hAnsi="Muli" w:cs="Calibri"/>
          <w:color w:val="222222"/>
          <w:sz w:val="22"/>
          <w:lang w:eastAsia="pl-PL"/>
        </w:rPr>
        <w:t>7 ust. 1 ustawy z dnia 13 kwietnia 2022 r.</w:t>
      </w:r>
      <w:r w:rsidRPr="008F49D3">
        <w:rPr>
          <w:rFonts w:ascii="Muli" w:eastAsia="Times New Roman" w:hAnsi="Muli" w:cs="Calibri"/>
          <w:i/>
          <w:iCs/>
          <w:color w:val="222222"/>
          <w:sz w:val="22"/>
          <w:lang w:eastAsia="pl-PL"/>
        </w:rPr>
        <w:br/>
        <w:t>o szczególnych rozwiązaniach w zakresie przeciwdziałania wspieraniu agresji na Ukrainę oraz służących ochronie bezpieczeństwa narodowego</w:t>
      </w:r>
      <w:r w:rsidRPr="008F49D3">
        <w:rPr>
          <w:rFonts w:ascii="Muli" w:eastAsia="Times New Roman" w:hAnsi="Muli" w:cs="Calibri"/>
          <w:b w:val="0"/>
          <w:color w:val="222222"/>
          <w:sz w:val="22"/>
          <w:lang w:eastAsia="pl-PL"/>
        </w:rPr>
        <w:t>(Dz. U. poz. 835)</w:t>
      </w:r>
      <w:r w:rsidRPr="008F49D3">
        <w:rPr>
          <w:rFonts w:ascii="Muli" w:eastAsia="Times New Roman" w:hAnsi="Muli" w:cs="Calibri"/>
          <w:b w:val="0"/>
          <w:i/>
          <w:iCs/>
          <w:color w:val="222222"/>
          <w:sz w:val="22"/>
          <w:lang w:eastAsia="pl-PL"/>
        </w:rPr>
        <w:t>.</w:t>
      </w:r>
      <w:r w:rsidRPr="008F49D3">
        <w:rPr>
          <w:rFonts w:ascii="Muli" w:eastAsia="Times New Roman" w:hAnsi="Muli" w:cs="Calibri"/>
          <w:b w:val="0"/>
          <w:color w:val="222222"/>
          <w:sz w:val="22"/>
          <w:vertAlign w:val="superscript"/>
          <w:lang w:eastAsia="pl-PL"/>
        </w:rPr>
        <w:footnoteReference w:id="2"/>
      </w:r>
    </w:p>
    <w:p w14:paraId="547B8AE9" w14:textId="77777777" w:rsidR="008F49D3" w:rsidRPr="008F49D3" w:rsidRDefault="008F49D3" w:rsidP="008F49D3">
      <w:pPr>
        <w:rPr>
          <w:rFonts w:ascii="Muli" w:hAnsi="Muli"/>
          <w:b w:val="0"/>
        </w:rPr>
      </w:pPr>
      <w:r w:rsidRPr="008F49D3">
        <w:rPr>
          <w:rFonts w:ascii="Muli" w:hAnsi="Muli"/>
          <w:b w:val="0"/>
        </w:rPr>
        <w:t>......................................</w:t>
      </w:r>
    </w:p>
    <w:p w14:paraId="228CF745" w14:textId="77777777" w:rsidR="008F49D3" w:rsidRPr="008F49D3" w:rsidRDefault="008F49D3" w:rsidP="008F49D3">
      <w:pPr>
        <w:rPr>
          <w:rFonts w:ascii="Muli" w:hAnsi="Muli"/>
          <w:b w:val="0"/>
          <w:i/>
        </w:rPr>
      </w:pPr>
      <w:r w:rsidRPr="008F49D3">
        <w:rPr>
          <w:rFonts w:ascii="Muli" w:hAnsi="Muli"/>
          <w:b w:val="0"/>
          <w:i/>
        </w:rPr>
        <w:tab/>
        <w:t>Miejscowość, data</w:t>
      </w:r>
    </w:p>
    <w:p w14:paraId="0209B17B" w14:textId="0A488E58" w:rsidR="005F245F" w:rsidRPr="005F245F" w:rsidRDefault="005F245F" w:rsidP="005F245F">
      <w:pPr>
        <w:spacing w:line="360" w:lineRule="auto"/>
        <w:ind w:left="4963" w:firstLine="709"/>
        <w:rPr>
          <w:rFonts w:ascii="Muli" w:hAnsi="Muli"/>
          <w:b w:val="0"/>
          <w:sz w:val="24"/>
        </w:rPr>
      </w:pPr>
    </w:p>
    <w:sectPr w:rsidR="005F245F" w:rsidRPr="005F24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4D4F" w14:textId="77777777" w:rsidR="00BB5769" w:rsidRDefault="00BB5769" w:rsidP="001124EC">
      <w:pPr>
        <w:spacing w:line="240" w:lineRule="auto"/>
      </w:pPr>
      <w:r>
        <w:separator/>
      </w:r>
    </w:p>
  </w:endnote>
  <w:endnote w:type="continuationSeparator" w:id="0">
    <w:p w14:paraId="57B7DFB2" w14:textId="77777777" w:rsidR="00BB5769" w:rsidRDefault="00BB5769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E3F2" w14:textId="77777777" w:rsidR="00BB5769" w:rsidRDefault="00BB5769" w:rsidP="001124EC">
      <w:pPr>
        <w:spacing w:line="240" w:lineRule="auto"/>
      </w:pPr>
      <w:r>
        <w:separator/>
      </w:r>
    </w:p>
  </w:footnote>
  <w:footnote w:type="continuationSeparator" w:id="0">
    <w:p w14:paraId="6965D393" w14:textId="77777777" w:rsidR="00BB5769" w:rsidRDefault="00BB5769" w:rsidP="001124EC">
      <w:pPr>
        <w:spacing w:line="240" w:lineRule="auto"/>
      </w:pPr>
      <w:r>
        <w:continuationSeparator/>
      </w:r>
    </w:p>
  </w:footnote>
  <w:footnote w:id="1">
    <w:p w14:paraId="14F6D7C1" w14:textId="77777777" w:rsidR="008F49D3" w:rsidRPr="00D84AC3" w:rsidRDefault="008F49D3" w:rsidP="008F49D3">
      <w:pPr>
        <w:pStyle w:val="Tekstprzypisudolnego"/>
        <w:spacing w:line="276" w:lineRule="auto"/>
        <w:jc w:val="both"/>
        <w:rPr>
          <w:rFonts w:ascii="Muli" w:hAnsi="Muli" w:cs="Arial"/>
          <w:sz w:val="16"/>
          <w:szCs w:val="16"/>
        </w:rPr>
      </w:pPr>
      <w:r w:rsidRPr="00D84AC3">
        <w:rPr>
          <w:rStyle w:val="Odwoanieprzypisudolnego"/>
          <w:rFonts w:ascii="Muli" w:hAnsi="Muli" w:cs="Arial"/>
          <w:sz w:val="16"/>
          <w:szCs w:val="16"/>
        </w:rPr>
        <w:footnoteRef/>
      </w:r>
      <w:r w:rsidRPr="00D84AC3">
        <w:rPr>
          <w:rFonts w:ascii="Muli" w:hAnsi="Mul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BFB7BE" w14:textId="77777777" w:rsidR="008F49D3" w:rsidRPr="00D84AC3" w:rsidRDefault="008F49D3" w:rsidP="008F49D3">
      <w:pPr>
        <w:pStyle w:val="Tekstprzypisudolnego"/>
        <w:numPr>
          <w:ilvl w:val="0"/>
          <w:numId w:val="25"/>
        </w:numPr>
        <w:spacing w:line="276" w:lineRule="auto"/>
        <w:rPr>
          <w:rFonts w:ascii="Muli" w:hAnsi="Muli" w:cs="Arial"/>
          <w:sz w:val="16"/>
          <w:szCs w:val="16"/>
        </w:rPr>
      </w:pPr>
      <w:r w:rsidRPr="00D84AC3">
        <w:rPr>
          <w:rFonts w:ascii="Muli" w:hAnsi="Muli" w:cs="Arial"/>
          <w:sz w:val="16"/>
          <w:szCs w:val="16"/>
        </w:rPr>
        <w:t>obywateli rosyjskich lub osób fizycznych lub prawnych, podmiotów lub organów z siedzibą w Rosji;</w:t>
      </w:r>
    </w:p>
    <w:p w14:paraId="41F8C971" w14:textId="77777777" w:rsidR="008F49D3" w:rsidRPr="00D84AC3" w:rsidRDefault="008F49D3" w:rsidP="008F49D3">
      <w:pPr>
        <w:pStyle w:val="Tekstprzypisudolnego"/>
        <w:numPr>
          <w:ilvl w:val="0"/>
          <w:numId w:val="25"/>
        </w:numPr>
        <w:spacing w:line="276" w:lineRule="auto"/>
        <w:rPr>
          <w:rFonts w:ascii="Muli" w:hAnsi="Muli" w:cs="Arial"/>
          <w:sz w:val="16"/>
          <w:szCs w:val="16"/>
        </w:rPr>
      </w:pPr>
      <w:bookmarkStart w:id="1" w:name="_Hlk102557314"/>
      <w:r w:rsidRPr="00D84AC3">
        <w:rPr>
          <w:rFonts w:ascii="Muli" w:hAnsi="Mul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54D097" w14:textId="77777777" w:rsidR="008F49D3" w:rsidRPr="00D84AC3" w:rsidRDefault="008F49D3" w:rsidP="008F49D3">
      <w:pPr>
        <w:pStyle w:val="Tekstprzypisudolnego"/>
        <w:numPr>
          <w:ilvl w:val="0"/>
          <w:numId w:val="25"/>
        </w:numPr>
        <w:spacing w:line="276" w:lineRule="auto"/>
        <w:rPr>
          <w:rFonts w:ascii="Muli" w:hAnsi="Muli" w:cs="Arial"/>
          <w:sz w:val="16"/>
          <w:szCs w:val="16"/>
        </w:rPr>
      </w:pPr>
      <w:r w:rsidRPr="00D84AC3">
        <w:rPr>
          <w:rFonts w:ascii="Muli" w:hAnsi="Mul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0D2F0D8" w14:textId="77777777" w:rsidR="008F49D3" w:rsidRPr="00D84AC3" w:rsidRDefault="008F49D3" w:rsidP="008F49D3">
      <w:pPr>
        <w:pStyle w:val="Tekstprzypisudolnego"/>
        <w:spacing w:line="276" w:lineRule="auto"/>
        <w:jc w:val="both"/>
        <w:rPr>
          <w:rFonts w:ascii="Muli" w:hAnsi="Muli" w:cs="Arial"/>
          <w:sz w:val="16"/>
          <w:szCs w:val="16"/>
        </w:rPr>
      </w:pPr>
      <w:r w:rsidRPr="00D84AC3">
        <w:rPr>
          <w:rFonts w:ascii="Muli" w:hAnsi="Mul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76E6CF4" w14:textId="77777777" w:rsidR="008F49D3" w:rsidRPr="006330FB" w:rsidRDefault="008F49D3" w:rsidP="008F49D3">
      <w:pPr>
        <w:spacing w:line="276" w:lineRule="auto"/>
        <w:jc w:val="both"/>
        <w:rPr>
          <w:rFonts w:ascii="Muli" w:hAnsi="Muli" w:cs="Arial"/>
          <w:b w:val="0"/>
          <w:color w:val="222222"/>
          <w:sz w:val="16"/>
          <w:szCs w:val="16"/>
        </w:rPr>
      </w:pPr>
      <w:r w:rsidRPr="00D84AC3">
        <w:rPr>
          <w:rStyle w:val="Odwoanieprzypisudolnego"/>
          <w:rFonts w:ascii="Muli" w:hAnsi="Muli" w:cs="Arial"/>
          <w:sz w:val="16"/>
          <w:szCs w:val="16"/>
        </w:rPr>
        <w:footnoteRef/>
      </w:r>
      <w:r w:rsidRPr="006330FB">
        <w:rPr>
          <w:rFonts w:ascii="Muli" w:hAnsi="Muli" w:cs="Arial"/>
          <w:b w:val="0"/>
          <w:color w:val="222222"/>
          <w:sz w:val="16"/>
          <w:szCs w:val="16"/>
        </w:rPr>
        <w:t xml:space="preserve">Zgodnie z treścią art. 7 ust. 1 ustawy z dnia 13 kwietnia 2022 r. </w:t>
      </w:r>
      <w:r w:rsidRPr="006330FB">
        <w:rPr>
          <w:rFonts w:ascii="Muli" w:hAnsi="Muli" w:cs="Arial"/>
          <w:b w:val="0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330FB">
        <w:rPr>
          <w:rFonts w:ascii="Muli" w:hAnsi="Muli" w:cs="Arial"/>
          <w:b w:val="0"/>
          <w:color w:val="222222"/>
          <w:sz w:val="16"/>
          <w:szCs w:val="16"/>
        </w:rPr>
        <w:t>z</w:t>
      </w:r>
      <w:r>
        <w:rPr>
          <w:rFonts w:ascii="Muli" w:hAnsi="Muli" w:cs="Arial"/>
          <w:b w:val="0"/>
          <w:color w:val="222222"/>
          <w:sz w:val="16"/>
          <w:szCs w:val="16"/>
        </w:rPr>
        <w:t xml:space="preserve"> </w:t>
      </w:r>
      <w:r w:rsidRPr="006330FB">
        <w:rPr>
          <w:rFonts w:ascii="Muli" w:eastAsia="Times New Roman" w:hAnsi="Muli" w:cs="Arial"/>
          <w:b w:val="0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6330FB">
        <w:rPr>
          <w:rFonts w:ascii="Muli" w:eastAsia="Times New Roman" w:hAnsi="Muli" w:cs="Arial"/>
          <w:b w:val="0"/>
          <w:color w:val="222222"/>
          <w:sz w:val="16"/>
          <w:szCs w:val="16"/>
        </w:rPr>
        <w:t>Pzp</w:t>
      </w:r>
      <w:proofErr w:type="spellEnd"/>
      <w:r w:rsidRPr="006330FB">
        <w:rPr>
          <w:rFonts w:ascii="Muli" w:eastAsia="Times New Roman" w:hAnsi="Muli" w:cs="Arial"/>
          <w:b w:val="0"/>
          <w:color w:val="222222"/>
          <w:sz w:val="16"/>
          <w:szCs w:val="16"/>
        </w:rPr>
        <w:t xml:space="preserve"> wyklucza się:</w:t>
      </w:r>
    </w:p>
    <w:p w14:paraId="7256B6BD" w14:textId="77777777" w:rsidR="008F49D3" w:rsidRPr="006330FB" w:rsidRDefault="008F49D3" w:rsidP="008F49D3">
      <w:pPr>
        <w:spacing w:line="276" w:lineRule="auto"/>
        <w:jc w:val="both"/>
        <w:rPr>
          <w:rFonts w:ascii="Muli" w:eastAsia="Times New Roman" w:hAnsi="Muli" w:cs="Arial"/>
          <w:b w:val="0"/>
          <w:color w:val="222222"/>
          <w:sz w:val="16"/>
          <w:szCs w:val="16"/>
        </w:rPr>
      </w:pPr>
      <w:r w:rsidRPr="006330FB">
        <w:rPr>
          <w:rFonts w:ascii="Muli" w:eastAsia="Times New Roman" w:hAnsi="Muli" w:cs="Arial"/>
          <w:b w:val="0"/>
          <w:color w:val="222222"/>
          <w:sz w:val="16"/>
          <w:szCs w:val="16"/>
        </w:rPr>
        <w:t xml:space="preserve">1) wykonawcę oraz uczestnika konkursu wymienionego w wykazach określonych w rozporządzeniu 765/2006 </w:t>
      </w:r>
      <w:r>
        <w:rPr>
          <w:rFonts w:ascii="Muli" w:eastAsia="Times New Roman" w:hAnsi="Muli" w:cs="Arial"/>
          <w:b w:val="0"/>
          <w:color w:val="222222"/>
          <w:sz w:val="16"/>
          <w:szCs w:val="16"/>
        </w:rPr>
        <w:br/>
      </w:r>
      <w:r w:rsidRPr="006330FB">
        <w:rPr>
          <w:rFonts w:ascii="Muli" w:eastAsia="Times New Roman" w:hAnsi="Muli" w:cs="Arial"/>
          <w:b w:val="0"/>
          <w:color w:val="222222"/>
          <w:sz w:val="16"/>
          <w:szCs w:val="16"/>
        </w:rPr>
        <w:t xml:space="preserve">i rozporządzeniu 269/2014 albo wpisanego na listę na podstawie decyzji w sprawie wpisu na listę rozstrzygającej </w:t>
      </w:r>
      <w:r>
        <w:rPr>
          <w:rFonts w:ascii="Muli" w:eastAsia="Times New Roman" w:hAnsi="Muli" w:cs="Arial"/>
          <w:b w:val="0"/>
          <w:color w:val="222222"/>
          <w:sz w:val="16"/>
          <w:szCs w:val="16"/>
        </w:rPr>
        <w:br/>
      </w:r>
      <w:r w:rsidRPr="006330FB">
        <w:rPr>
          <w:rFonts w:ascii="Muli" w:eastAsia="Times New Roman" w:hAnsi="Muli" w:cs="Arial"/>
          <w:b w:val="0"/>
          <w:color w:val="222222"/>
          <w:sz w:val="16"/>
          <w:szCs w:val="16"/>
        </w:rPr>
        <w:t>o zastosowaniu środka, o którym mowa w art. 1 pkt 3 ustawy;</w:t>
      </w:r>
    </w:p>
    <w:p w14:paraId="03AD524C" w14:textId="77777777" w:rsidR="008F49D3" w:rsidRPr="006330FB" w:rsidRDefault="008F49D3" w:rsidP="008F49D3">
      <w:pPr>
        <w:spacing w:line="276" w:lineRule="auto"/>
        <w:jc w:val="both"/>
        <w:rPr>
          <w:rFonts w:ascii="Muli" w:hAnsi="Muli" w:cs="Arial"/>
          <w:b w:val="0"/>
          <w:color w:val="222222"/>
          <w:sz w:val="16"/>
          <w:szCs w:val="16"/>
        </w:rPr>
      </w:pPr>
      <w:r w:rsidRPr="006330FB">
        <w:rPr>
          <w:rFonts w:ascii="Muli" w:hAnsi="Muli" w:cs="Arial"/>
          <w:b w:val="0"/>
          <w:color w:val="222222"/>
          <w:sz w:val="16"/>
          <w:szCs w:val="16"/>
        </w:rPr>
        <w:t xml:space="preserve">2) </w:t>
      </w:r>
      <w:r w:rsidRPr="006330FB">
        <w:rPr>
          <w:rFonts w:ascii="Muli" w:eastAsia="Times New Roman" w:hAnsi="Muli" w:cs="Arial"/>
          <w:b w:val="0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3AD4CC" w14:textId="77777777" w:rsidR="008F49D3" w:rsidRPr="00896587" w:rsidRDefault="008F49D3" w:rsidP="008F49D3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330FB">
        <w:rPr>
          <w:rFonts w:ascii="Muli" w:eastAsia="Times New Roman" w:hAnsi="Muli" w:cs="Arial"/>
          <w:b w:val="0"/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>
        <w:rPr>
          <w:rFonts w:ascii="Muli" w:eastAsia="Times New Roman" w:hAnsi="Muli" w:cs="Arial"/>
          <w:b w:val="0"/>
          <w:color w:val="222222"/>
          <w:sz w:val="16"/>
          <w:szCs w:val="16"/>
        </w:rPr>
        <w:br/>
      </w:r>
      <w:r w:rsidRPr="006330FB">
        <w:rPr>
          <w:rFonts w:ascii="Muli" w:eastAsia="Times New Roman" w:hAnsi="Muli" w:cs="Arial"/>
          <w:b w:val="0"/>
          <w:color w:val="222222"/>
          <w:sz w:val="16"/>
          <w:szCs w:val="16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77777777"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5"/>
  </w:num>
  <w:num w:numId="20">
    <w:abstractNumId w:val="10"/>
  </w:num>
  <w:num w:numId="21">
    <w:abstractNumId w:val="20"/>
  </w:num>
  <w:num w:numId="22">
    <w:abstractNumId w:val="19"/>
  </w:num>
  <w:num w:numId="23">
    <w:abstractNumId w:val="12"/>
  </w:num>
  <w:num w:numId="24">
    <w:abstractNumId w:val="23"/>
  </w:num>
  <w:num w:numId="25">
    <w:abstractNumId w:val="2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60CAB"/>
    <w:rsid w:val="00067519"/>
    <w:rsid w:val="00092174"/>
    <w:rsid w:val="000D4A50"/>
    <w:rsid w:val="000D6D0B"/>
    <w:rsid w:val="000E0F29"/>
    <w:rsid w:val="001124EC"/>
    <w:rsid w:val="00134ECC"/>
    <w:rsid w:val="001D3579"/>
    <w:rsid w:val="001E7003"/>
    <w:rsid w:val="001F123B"/>
    <w:rsid w:val="001F3236"/>
    <w:rsid w:val="00222783"/>
    <w:rsid w:val="002D7F7B"/>
    <w:rsid w:val="00310051"/>
    <w:rsid w:val="00341293"/>
    <w:rsid w:val="003430F1"/>
    <w:rsid w:val="00383ECA"/>
    <w:rsid w:val="003B3FC0"/>
    <w:rsid w:val="003C7D20"/>
    <w:rsid w:val="003F6E12"/>
    <w:rsid w:val="004169CE"/>
    <w:rsid w:val="00463337"/>
    <w:rsid w:val="005C488D"/>
    <w:rsid w:val="005E0B7B"/>
    <w:rsid w:val="005F245F"/>
    <w:rsid w:val="005F7A6C"/>
    <w:rsid w:val="00604208"/>
    <w:rsid w:val="00624647"/>
    <w:rsid w:val="0063135C"/>
    <w:rsid w:val="00661FED"/>
    <w:rsid w:val="00693C55"/>
    <w:rsid w:val="006B6105"/>
    <w:rsid w:val="00741DA7"/>
    <w:rsid w:val="007423E3"/>
    <w:rsid w:val="00771C23"/>
    <w:rsid w:val="00791E55"/>
    <w:rsid w:val="007A2FC9"/>
    <w:rsid w:val="007B3229"/>
    <w:rsid w:val="008268B1"/>
    <w:rsid w:val="0083180A"/>
    <w:rsid w:val="008408B9"/>
    <w:rsid w:val="008A621B"/>
    <w:rsid w:val="008C1F99"/>
    <w:rsid w:val="008E35FB"/>
    <w:rsid w:val="008F49D3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49D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49D3"/>
    <w:rPr>
      <w:rFonts w:ascii="Muli SemiBold" w:hAnsi="Muli SemiBold"/>
      <w:b/>
      <w:color w:val="000100"/>
      <w:lang w:eastAsia="en-US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semiHidden/>
    <w:unhideWhenUsed/>
    <w:rsid w:val="008F4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0D2D-3E7F-447E-B722-10CCF87C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2024-05-09T10:25:00Z</dcterms:created>
  <dcterms:modified xsi:type="dcterms:W3CDTF">2024-05-09T10:25:00Z</dcterms:modified>
</cp:coreProperties>
</file>